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EB" w:rsidRPr="002810EB" w:rsidRDefault="002810EB" w:rsidP="002810EB">
      <w:pPr>
        <w:rPr>
          <w:b/>
        </w:rPr>
      </w:pPr>
      <w:r>
        <w:rPr>
          <w:b/>
        </w:rPr>
        <w:t>Отчет о проделанных работах</w:t>
      </w:r>
      <w:r w:rsidR="00F31456">
        <w:rPr>
          <w:b/>
        </w:rPr>
        <w:t xml:space="preserve"> за </w:t>
      </w:r>
      <w:r w:rsidR="004B0ED8">
        <w:rPr>
          <w:b/>
        </w:rPr>
        <w:t>первый</w:t>
      </w:r>
      <w:r w:rsidR="00F31456">
        <w:rPr>
          <w:b/>
        </w:rPr>
        <w:t xml:space="preserve"> этап работ</w:t>
      </w:r>
      <w:r>
        <w:rPr>
          <w:b/>
        </w:rPr>
        <w:t xml:space="preserve"> по</w:t>
      </w:r>
      <w:r w:rsidRPr="002810EB">
        <w:rPr>
          <w:b/>
        </w:rPr>
        <w:t xml:space="preserve"> Соглашению о предоставлении субсидии №14.607.21.0197 от «26» сентября 2017 г.</w:t>
      </w:r>
    </w:p>
    <w:p w:rsidR="004B0ED8" w:rsidRPr="00691FA9" w:rsidRDefault="004B0ED8" w:rsidP="004B0ED8">
      <w:r w:rsidRPr="00691FA9">
        <w:t xml:space="preserve">В результате выполнения </w:t>
      </w:r>
      <w:r>
        <w:t>первого</w:t>
      </w:r>
      <w:bookmarkStart w:id="0" w:name="_GoBack"/>
      <w:bookmarkEnd w:id="0"/>
      <w:r w:rsidRPr="00691FA9">
        <w:t xml:space="preserve"> этапа работ по Соглашению о предоставлении субсидии №14.607.21.0197 от «26» сентября 2017 г. были получены следующие результаты:</w:t>
      </w:r>
    </w:p>
    <w:p w:rsidR="004B0ED8" w:rsidRPr="00691FA9" w:rsidRDefault="004B0ED8" w:rsidP="004B0ED8">
      <w:proofErr w:type="gramStart"/>
      <w:r w:rsidRPr="00691FA9">
        <w:t>1) Выполнен аналитический обзор современной научно-технической, нормативной, методической литературы, затрагивающей научно-техническую проблему, исследуемую в рамках ПНИЭР, в том числе обзор научных информационных источников: статьи в ведущих зарубежных и (или) российских научных журналах, монографии и (или) патенты) – не менее 15 научно-информационных источников за период 2011 – 2016 гг.</w:t>
      </w:r>
      <w:proofErr w:type="gramEnd"/>
    </w:p>
    <w:p w:rsidR="004B0ED8" w:rsidRPr="00691FA9" w:rsidRDefault="004B0ED8" w:rsidP="004B0ED8">
      <w:r w:rsidRPr="00691FA9">
        <w:t xml:space="preserve">2) Выполнены патентные исследования в соответствии с ГОСТ 15.011-96. </w:t>
      </w:r>
    </w:p>
    <w:p w:rsidR="004B0ED8" w:rsidRPr="00691FA9" w:rsidRDefault="004B0ED8" w:rsidP="004B0ED8">
      <w:r w:rsidRPr="00691FA9">
        <w:t>3) Выполнено обоснование выбора направления исследований.</w:t>
      </w:r>
    </w:p>
    <w:p w:rsidR="004B0ED8" w:rsidRPr="00691FA9" w:rsidRDefault="004B0ED8" w:rsidP="004B0ED8">
      <w:r w:rsidRPr="00691FA9">
        <w:t xml:space="preserve">4) Проведено теоретическое исследование путей создания технологии </w:t>
      </w:r>
      <w:proofErr w:type="spellStart"/>
      <w:r w:rsidRPr="00691FA9">
        <w:t>автотермической</w:t>
      </w:r>
      <w:proofErr w:type="spellEnd"/>
      <w:r w:rsidRPr="00691FA9">
        <w:t xml:space="preserve"> конверсии органического сырья в высококачественное газообразное топливо.</w:t>
      </w:r>
    </w:p>
    <w:p w:rsidR="004B0ED8" w:rsidRPr="00691FA9" w:rsidRDefault="004B0ED8" w:rsidP="004B0ED8">
      <w:r w:rsidRPr="00691FA9">
        <w:t>5) Проведена сравнительная оценка вариантов возможных решений исследуемой проблемы с учётом результатов прогнозных исследований, проводившихся по аналогичной тематике.</w:t>
      </w:r>
    </w:p>
    <w:p w:rsidR="004B0ED8" w:rsidRPr="00691FA9" w:rsidRDefault="004B0ED8" w:rsidP="004B0ED8">
      <w:r w:rsidRPr="00691FA9">
        <w:t>6) Проведены исследования сырья и коксового остатка сырья, включающие элементный анализ (определение массовых долей влаги, углерода, водорода, азота, серы и кислорода, определение значения зольности), термогравиметрический анализ в режимах пиролиза и окисления, калориметрический анализ (определение высшей теплоты сгорания).</w:t>
      </w:r>
    </w:p>
    <w:p w:rsidR="004B0ED8" w:rsidRPr="00691FA9" w:rsidRDefault="004B0ED8" w:rsidP="004B0ED8">
      <w:r w:rsidRPr="00691FA9">
        <w:t>7) Разработана эскизная конструкторская документация на лабораторную установку «</w:t>
      </w:r>
      <w:proofErr w:type="spellStart"/>
      <w:r w:rsidRPr="00691FA9">
        <w:t>Пироэнергия</w:t>
      </w:r>
      <w:proofErr w:type="spellEnd"/>
      <w:r w:rsidRPr="00691FA9">
        <w:t>-Л».</w:t>
      </w:r>
    </w:p>
    <w:p w:rsidR="004B0ED8" w:rsidRPr="00691FA9" w:rsidRDefault="004B0ED8" w:rsidP="004B0ED8">
      <w:r w:rsidRPr="00691FA9">
        <w:t>8) Изготовлена лабораторная установка «</w:t>
      </w:r>
      <w:proofErr w:type="spellStart"/>
      <w:r w:rsidRPr="00691FA9">
        <w:t>Пироэнергия</w:t>
      </w:r>
      <w:proofErr w:type="spellEnd"/>
      <w:r w:rsidRPr="00691FA9">
        <w:t>-Л». (</w:t>
      </w:r>
      <w:r w:rsidRPr="00691FA9">
        <w:rPr>
          <w:i/>
        </w:rPr>
        <w:t>За счёт средств Получателя субсидии</w:t>
      </w:r>
      <w:r w:rsidRPr="00691FA9">
        <w:t>).</w:t>
      </w:r>
    </w:p>
    <w:p w:rsidR="004B0ED8" w:rsidRPr="00691FA9" w:rsidRDefault="004B0ED8" w:rsidP="004B0ED8">
      <w:r w:rsidRPr="00691FA9">
        <w:t>9) Разработана программа и методики проведения испытаний лабораторной установки «</w:t>
      </w:r>
      <w:proofErr w:type="spellStart"/>
      <w:r w:rsidRPr="00691FA9">
        <w:t>Пироэнергия</w:t>
      </w:r>
      <w:proofErr w:type="spellEnd"/>
      <w:r w:rsidRPr="00691FA9">
        <w:t>-Л».</w:t>
      </w:r>
    </w:p>
    <w:p w:rsidR="004B0ED8" w:rsidRPr="00691FA9" w:rsidRDefault="004B0ED8" w:rsidP="004B0ED8">
      <w:r w:rsidRPr="00691FA9">
        <w:t>10) Разработана программа и методики проведения исследований газа.</w:t>
      </w:r>
    </w:p>
    <w:p w:rsidR="004B0ED8" w:rsidRPr="00691FA9" w:rsidRDefault="004B0ED8" w:rsidP="004B0ED8">
      <w:r w:rsidRPr="00691FA9">
        <w:t>11) Проведены испытания лабораторной установки «</w:t>
      </w:r>
      <w:proofErr w:type="spellStart"/>
      <w:r w:rsidRPr="00691FA9">
        <w:t>Пироэнергия</w:t>
      </w:r>
      <w:proofErr w:type="spellEnd"/>
      <w:r w:rsidRPr="00691FA9">
        <w:t>-Л (</w:t>
      </w:r>
      <w:r w:rsidRPr="00691FA9">
        <w:rPr>
          <w:i/>
        </w:rPr>
        <w:t>За счёт средств Получателя субсидии</w:t>
      </w:r>
      <w:r w:rsidRPr="00691FA9">
        <w:t>).</w:t>
      </w:r>
    </w:p>
    <w:p w:rsidR="004B0ED8" w:rsidRPr="00691FA9" w:rsidRDefault="004B0ED8" w:rsidP="004B0ED8">
      <w:r w:rsidRPr="00691FA9">
        <w:t>12) Проведены исследования газа, полученного на лабораторной установке «</w:t>
      </w:r>
      <w:proofErr w:type="spellStart"/>
      <w:r w:rsidRPr="00691FA9">
        <w:t>Пироэнергия</w:t>
      </w:r>
      <w:proofErr w:type="spellEnd"/>
      <w:r w:rsidRPr="00691FA9">
        <w:t>-Л».</w:t>
      </w:r>
    </w:p>
    <w:p w:rsidR="004B0ED8" w:rsidRPr="00691FA9" w:rsidRDefault="004B0ED8" w:rsidP="004B0ED8">
      <w:r w:rsidRPr="00691FA9">
        <w:lastRenderedPageBreak/>
        <w:t>13) Выполнено обобщение результатов испытаний и исследований на лабораторной установке «</w:t>
      </w:r>
      <w:proofErr w:type="spellStart"/>
      <w:r w:rsidRPr="00691FA9">
        <w:t>Пироэнергия</w:t>
      </w:r>
      <w:proofErr w:type="spellEnd"/>
      <w:r w:rsidRPr="00691FA9">
        <w:t>-Л».</w:t>
      </w:r>
    </w:p>
    <w:p w:rsidR="004B0ED8" w:rsidRPr="00691FA9" w:rsidRDefault="004B0ED8" w:rsidP="004B0ED8">
      <w:r w:rsidRPr="00691FA9">
        <w:t xml:space="preserve">14) Разработана математическая модель процесса </w:t>
      </w:r>
      <w:proofErr w:type="spellStart"/>
      <w:r w:rsidRPr="00691FA9">
        <w:t>пирокаталитической</w:t>
      </w:r>
      <w:proofErr w:type="spellEnd"/>
      <w:r w:rsidRPr="00691FA9">
        <w:t xml:space="preserve"> конверсии.</w:t>
      </w:r>
    </w:p>
    <w:p w:rsidR="004B0ED8" w:rsidRPr="00691FA9" w:rsidRDefault="004B0ED8" w:rsidP="004B0ED8">
      <w:r w:rsidRPr="00691FA9">
        <w:t>15) Разработано техническое задание на изготовление экспериментального образца установки «Пироэнергия-300». (</w:t>
      </w:r>
      <w:r w:rsidRPr="00691FA9">
        <w:rPr>
          <w:i/>
        </w:rPr>
        <w:t>За счёт средств Индустриального партнёра</w:t>
      </w:r>
      <w:r w:rsidRPr="00691FA9">
        <w:t>).</w:t>
      </w:r>
    </w:p>
    <w:p w:rsidR="004B0ED8" w:rsidRPr="00691FA9" w:rsidRDefault="004B0ED8" w:rsidP="004B0ED8">
      <w:r w:rsidRPr="00691FA9">
        <w:t>16) Разработан технический проект на изготовление экспериментального образца установки «Пироэнергия-300» (частично). (</w:t>
      </w:r>
      <w:r w:rsidRPr="00691FA9">
        <w:rPr>
          <w:i/>
        </w:rPr>
        <w:t>За счёт средств Индустриального партнёра</w:t>
      </w:r>
      <w:r w:rsidRPr="00691FA9">
        <w:t>).</w:t>
      </w:r>
    </w:p>
    <w:p w:rsidR="004B0ED8" w:rsidRPr="00691FA9" w:rsidRDefault="004B0ED8" w:rsidP="004B0ED8">
      <w:r w:rsidRPr="00691FA9">
        <w:t>Результаты выполненных работ соответствуют требованиям Технического задания.</w:t>
      </w:r>
    </w:p>
    <w:p w:rsidR="004B0ED8" w:rsidRPr="00691FA9" w:rsidRDefault="004B0ED8" w:rsidP="004B0ED8">
      <w:r w:rsidRPr="00691FA9">
        <w:t>За счет внебюджетных средств ОИВТ РАН была изготовлена лабораторной установки «</w:t>
      </w:r>
      <w:proofErr w:type="spellStart"/>
      <w:r w:rsidRPr="00691FA9">
        <w:t>Пироэнергия</w:t>
      </w:r>
      <w:proofErr w:type="spellEnd"/>
      <w:r w:rsidRPr="00691FA9">
        <w:t>-Л», также были проведены испытания изготовленной установки.</w:t>
      </w:r>
    </w:p>
    <w:p w:rsidR="004B0ED8" w:rsidRPr="00691FA9" w:rsidRDefault="004B0ED8" w:rsidP="004B0ED8">
      <w:r w:rsidRPr="00691FA9">
        <w:t xml:space="preserve">За счет средств индустриального партнера ПАО «НПО “Искра”» были разработаны техническое задание и частично технический проект на изготовление </w:t>
      </w:r>
      <w:r w:rsidRPr="00691FA9">
        <w:rPr>
          <w:rFonts w:eastAsia="Calibri"/>
        </w:rPr>
        <w:t>экспериментального образца установки «Пироэнергия-300».</w:t>
      </w:r>
    </w:p>
    <w:p w:rsidR="004B0ED8" w:rsidRPr="00691FA9" w:rsidRDefault="004B0ED8" w:rsidP="004B0ED8">
      <w:r w:rsidRPr="00691FA9">
        <w:t>Все поставленные на</w:t>
      </w:r>
      <w:r w:rsidRPr="00691FA9">
        <w:rPr>
          <w:color w:val="FF0000"/>
        </w:rPr>
        <w:t xml:space="preserve"> </w:t>
      </w:r>
      <w:r w:rsidRPr="00691FA9">
        <w:t>этапе 1</w:t>
      </w:r>
      <w:r w:rsidRPr="00691FA9">
        <w:rPr>
          <w:color w:val="FF0000"/>
        </w:rPr>
        <w:t xml:space="preserve"> </w:t>
      </w:r>
      <w:r w:rsidRPr="00691FA9">
        <w:t>задачи решены в полном объеме.</w:t>
      </w:r>
    </w:p>
    <w:p w:rsidR="004B0ED8" w:rsidRPr="00691FA9" w:rsidRDefault="004B0ED8" w:rsidP="004B0ED8">
      <w:r w:rsidRPr="00691FA9">
        <w:t>Содержание отчётной документации соответствует условиям Соглашения о предоставлении субсидии, в том числе Техническому заданию и Плану-графику исполнения обязательств.</w:t>
      </w:r>
    </w:p>
    <w:p w:rsidR="004B0ED8" w:rsidRPr="00691FA9" w:rsidRDefault="004B0ED8" w:rsidP="004B0ED8">
      <w:r w:rsidRPr="00691FA9">
        <w:t>Достигнутые значения показателей результативности соответствуют требованиям Соглашения о предоставлении субсидии.</w:t>
      </w:r>
    </w:p>
    <w:p w:rsidR="004B0ED8" w:rsidRPr="00691FA9" w:rsidRDefault="004B0ED8" w:rsidP="004B0ED8">
      <w:r w:rsidRPr="00691FA9">
        <w:t>Работы по Соглашению о предоставлении субсидии №14.607.21.0197 от «26» сентября 2017 года на этапе 1 Плана-графика исполнения обязательств выполнены в установленный срок и удовлетворяют условиям Соглашения, в том числе Техническому заданию и Плану-графику исполнения обязательств.</w:t>
      </w:r>
    </w:p>
    <w:p w:rsidR="006B1F4A" w:rsidRDefault="006B1F4A" w:rsidP="004B0ED8"/>
    <w:sectPr w:rsidR="006B1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503B1"/>
    <w:multiLevelType w:val="multilevel"/>
    <w:tmpl w:val="55C83B62"/>
    <w:lvl w:ilvl="0">
      <w:start w:val="1"/>
      <w:numFmt w:val="decimal"/>
      <w:pStyle w:val="1"/>
      <w:lvlText w:val="%1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ind w:left="2265" w:hanging="705"/>
      </w:pPr>
      <w:rPr>
        <w:rFonts w:hint="default"/>
      </w:rPr>
    </w:lvl>
    <w:lvl w:ilvl="2">
      <w:start w:val="1"/>
      <w:numFmt w:val="decimal"/>
      <w:pStyle w:val="3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pStyle w:val="4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pStyle w:val="5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EB"/>
    <w:rsid w:val="002810EB"/>
    <w:rsid w:val="00286564"/>
    <w:rsid w:val="004B0ED8"/>
    <w:rsid w:val="006B1F4A"/>
    <w:rsid w:val="00794F45"/>
    <w:rsid w:val="00E7247E"/>
    <w:rsid w:val="00F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EB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6B1F4A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. 1"/>
    <w:basedOn w:val="10"/>
    <w:next w:val="a"/>
    <w:link w:val="12"/>
    <w:qFormat/>
    <w:rsid w:val="006B1F4A"/>
    <w:pPr>
      <w:pageBreakBefore/>
      <w:numPr>
        <w:numId w:val="5"/>
      </w:numPr>
      <w:tabs>
        <w:tab w:val="left" w:pos="284"/>
      </w:tabs>
      <w:suppressAutoHyphens/>
      <w:spacing w:before="0" w:line="360" w:lineRule="auto"/>
      <w:jc w:val="both"/>
    </w:pPr>
    <w:rPr>
      <w:rFonts w:ascii="Times New Roman" w:hAnsi="Times New Roman"/>
      <w:color w:val="auto"/>
      <w:sz w:val="24"/>
    </w:rPr>
  </w:style>
  <w:style w:type="character" w:customStyle="1" w:styleId="12">
    <w:name w:val="Загол. 1 Знак"/>
    <w:basedOn w:val="a0"/>
    <w:link w:val="1"/>
    <w:rsid w:val="006B1F4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11">
    <w:name w:val="Заголовок 1 Знак"/>
    <w:basedOn w:val="a0"/>
    <w:link w:val="10"/>
    <w:uiPriority w:val="9"/>
    <w:rsid w:val="006B1F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">
    <w:name w:val="Загол. 2"/>
    <w:basedOn w:val="1"/>
    <w:next w:val="a"/>
    <w:link w:val="20"/>
    <w:qFormat/>
    <w:rsid w:val="006B1F4A"/>
    <w:pPr>
      <w:pageBreakBefore w:val="0"/>
      <w:numPr>
        <w:ilvl w:val="1"/>
      </w:numPr>
      <w:tabs>
        <w:tab w:val="clear" w:pos="284"/>
        <w:tab w:val="left" w:pos="567"/>
        <w:tab w:val="left" w:pos="1559"/>
      </w:tabs>
    </w:pPr>
  </w:style>
  <w:style w:type="character" w:customStyle="1" w:styleId="20">
    <w:name w:val="Загол. 2 Знак"/>
    <w:basedOn w:val="a0"/>
    <w:link w:val="2"/>
    <w:rsid w:val="006B1F4A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3">
    <w:name w:val="Загол. 3"/>
    <w:basedOn w:val="1"/>
    <w:next w:val="a"/>
    <w:link w:val="30"/>
    <w:qFormat/>
    <w:rsid w:val="006B1F4A"/>
    <w:pPr>
      <w:pageBreakBefore w:val="0"/>
      <w:numPr>
        <w:ilvl w:val="2"/>
      </w:numPr>
      <w:tabs>
        <w:tab w:val="clear" w:pos="284"/>
        <w:tab w:val="left" w:pos="851"/>
      </w:tabs>
    </w:pPr>
  </w:style>
  <w:style w:type="character" w:customStyle="1" w:styleId="30">
    <w:name w:val="Загол. 3 Знак"/>
    <w:basedOn w:val="a0"/>
    <w:link w:val="3"/>
    <w:rsid w:val="006B1F4A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4">
    <w:name w:val="Загол. 4"/>
    <w:basedOn w:val="1"/>
    <w:next w:val="a"/>
    <w:link w:val="40"/>
    <w:qFormat/>
    <w:rsid w:val="006B1F4A"/>
    <w:pPr>
      <w:pageBreakBefore w:val="0"/>
      <w:numPr>
        <w:ilvl w:val="3"/>
      </w:numPr>
      <w:tabs>
        <w:tab w:val="clear" w:pos="284"/>
        <w:tab w:val="left" w:pos="993"/>
      </w:tabs>
    </w:pPr>
  </w:style>
  <w:style w:type="character" w:customStyle="1" w:styleId="40">
    <w:name w:val="Загол. 4 Знак"/>
    <w:basedOn w:val="a0"/>
    <w:link w:val="4"/>
    <w:rsid w:val="006B1F4A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5">
    <w:name w:val="Загол. 5"/>
    <w:basedOn w:val="1"/>
    <w:next w:val="a"/>
    <w:link w:val="50"/>
    <w:qFormat/>
    <w:rsid w:val="006B1F4A"/>
    <w:pPr>
      <w:pageBreakBefore w:val="0"/>
      <w:numPr>
        <w:ilvl w:val="4"/>
        <w:numId w:val="1"/>
      </w:numPr>
      <w:tabs>
        <w:tab w:val="clear" w:pos="284"/>
        <w:tab w:val="left" w:pos="1134"/>
      </w:tabs>
      <w:ind w:left="0" w:firstLine="709"/>
    </w:pPr>
  </w:style>
  <w:style w:type="character" w:customStyle="1" w:styleId="50">
    <w:name w:val="Загол. 5 Знак"/>
    <w:basedOn w:val="a0"/>
    <w:link w:val="5"/>
    <w:rsid w:val="006B1F4A"/>
    <w:rPr>
      <w:rFonts w:ascii="Times New Roman" w:eastAsiaTheme="majorEastAsia" w:hAnsi="Times New Roman" w:cstheme="majorBidi"/>
      <w:b/>
      <w:b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EB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6B1F4A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. 1"/>
    <w:basedOn w:val="10"/>
    <w:next w:val="a"/>
    <w:link w:val="12"/>
    <w:qFormat/>
    <w:rsid w:val="006B1F4A"/>
    <w:pPr>
      <w:pageBreakBefore/>
      <w:numPr>
        <w:numId w:val="5"/>
      </w:numPr>
      <w:tabs>
        <w:tab w:val="left" w:pos="284"/>
      </w:tabs>
      <w:suppressAutoHyphens/>
      <w:spacing w:before="0" w:line="360" w:lineRule="auto"/>
      <w:jc w:val="both"/>
    </w:pPr>
    <w:rPr>
      <w:rFonts w:ascii="Times New Roman" w:hAnsi="Times New Roman"/>
      <w:color w:val="auto"/>
      <w:sz w:val="24"/>
    </w:rPr>
  </w:style>
  <w:style w:type="character" w:customStyle="1" w:styleId="12">
    <w:name w:val="Загол. 1 Знак"/>
    <w:basedOn w:val="a0"/>
    <w:link w:val="1"/>
    <w:rsid w:val="006B1F4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11">
    <w:name w:val="Заголовок 1 Знак"/>
    <w:basedOn w:val="a0"/>
    <w:link w:val="10"/>
    <w:uiPriority w:val="9"/>
    <w:rsid w:val="006B1F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">
    <w:name w:val="Загол. 2"/>
    <w:basedOn w:val="1"/>
    <w:next w:val="a"/>
    <w:link w:val="20"/>
    <w:qFormat/>
    <w:rsid w:val="006B1F4A"/>
    <w:pPr>
      <w:pageBreakBefore w:val="0"/>
      <w:numPr>
        <w:ilvl w:val="1"/>
      </w:numPr>
      <w:tabs>
        <w:tab w:val="clear" w:pos="284"/>
        <w:tab w:val="left" w:pos="567"/>
        <w:tab w:val="left" w:pos="1559"/>
      </w:tabs>
    </w:pPr>
  </w:style>
  <w:style w:type="character" w:customStyle="1" w:styleId="20">
    <w:name w:val="Загол. 2 Знак"/>
    <w:basedOn w:val="a0"/>
    <w:link w:val="2"/>
    <w:rsid w:val="006B1F4A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3">
    <w:name w:val="Загол. 3"/>
    <w:basedOn w:val="1"/>
    <w:next w:val="a"/>
    <w:link w:val="30"/>
    <w:qFormat/>
    <w:rsid w:val="006B1F4A"/>
    <w:pPr>
      <w:pageBreakBefore w:val="0"/>
      <w:numPr>
        <w:ilvl w:val="2"/>
      </w:numPr>
      <w:tabs>
        <w:tab w:val="clear" w:pos="284"/>
        <w:tab w:val="left" w:pos="851"/>
      </w:tabs>
    </w:pPr>
  </w:style>
  <w:style w:type="character" w:customStyle="1" w:styleId="30">
    <w:name w:val="Загол. 3 Знак"/>
    <w:basedOn w:val="a0"/>
    <w:link w:val="3"/>
    <w:rsid w:val="006B1F4A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4">
    <w:name w:val="Загол. 4"/>
    <w:basedOn w:val="1"/>
    <w:next w:val="a"/>
    <w:link w:val="40"/>
    <w:qFormat/>
    <w:rsid w:val="006B1F4A"/>
    <w:pPr>
      <w:pageBreakBefore w:val="0"/>
      <w:numPr>
        <w:ilvl w:val="3"/>
      </w:numPr>
      <w:tabs>
        <w:tab w:val="clear" w:pos="284"/>
        <w:tab w:val="left" w:pos="993"/>
      </w:tabs>
    </w:pPr>
  </w:style>
  <w:style w:type="character" w:customStyle="1" w:styleId="40">
    <w:name w:val="Загол. 4 Знак"/>
    <w:basedOn w:val="a0"/>
    <w:link w:val="4"/>
    <w:rsid w:val="006B1F4A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5">
    <w:name w:val="Загол. 5"/>
    <w:basedOn w:val="1"/>
    <w:next w:val="a"/>
    <w:link w:val="50"/>
    <w:qFormat/>
    <w:rsid w:val="006B1F4A"/>
    <w:pPr>
      <w:pageBreakBefore w:val="0"/>
      <w:numPr>
        <w:ilvl w:val="4"/>
        <w:numId w:val="1"/>
      </w:numPr>
      <w:tabs>
        <w:tab w:val="clear" w:pos="284"/>
        <w:tab w:val="left" w:pos="1134"/>
      </w:tabs>
      <w:ind w:left="0" w:firstLine="709"/>
    </w:pPr>
  </w:style>
  <w:style w:type="character" w:customStyle="1" w:styleId="50">
    <w:name w:val="Загол. 5 Знак"/>
    <w:basedOn w:val="a0"/>
    <w:link w:val="5"/>
    <w:rsid w:val="006B1F4A"/>
    <w:rPr>
      <w:rFonts w:ascii="Times New Roman" w:eastAsiaTheme="majorEastAsia" w:hAnsi="Times New Roman" w:cstheme="majorBid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3179</Characters>
  <Application>Microsoft Office Word</Application>
  <DocSecurity>0</DocSecurity>
  <Lines>67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2</cp:revision>
  <dcterms:created xsi:type="dcterms:W3CDTF">2019-12-18T17:04:00Z</dcterms:created>
  <dcterms:modified xsi:type="dcterms:W3CDTF">2019-12-18T17:04:00Z</dcterms:modified>
</cp:coreProperties>
</file>